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D93C95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D93C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74326F" w:rsidRDefault="0074326F" w:rsidP="0074326F">
      <w:pPr>
        <w:pStyle w:val="6"/>
        <w:rPr>
          <w:rFonts w:ascii="Times New Roman" w:hAnsi="Times New Roman"/>
          <w:b/>
        </w:rPr>
      </w:pPr>
    </w:p>
    <w:p w:rsidR="00207602" w:rsidRPr="00207602" w:rsidRDefault="00207602" w:rsidP="00207602">
      <w:pPr>
        <w:jc w:val="center"/>
        <w:rPr>
          <w:b/>
          <w:sz w:val="28"/>
          <w:szCs w:val="28"/>
        </w:rPr>
      </w:pPr>
      <w:r w:rsidRPr="00207602">
        <w:rPr>
          <w:b/>
          <w:sz w:val="28"/>
          <w:szCs w:val="28"/>
        </w:rPr>
        <w:t>РЕШЕНИЕ</w:t>
      </w:r>
    </w:p>
    <w:p w:rsidR="00207602" w:rsidRPr="00207602" w:rsidRDefault="00207602" w:rsidP="00207602"/>
    <w:p w:rsidR="0074326F" w:rsidRPr="00041ABC" w:rsidRDefault="0074326F" w:rsidP="0074326F">
      <w:pPr>
        <w:ind w:firstLine="900"/>
        <w:jc w:val="center"/>
        <w:rPr>
          <w:b/>
          <w:sz w:val="28"/>
          <w:szCs w:val="28"/>
        </w:rPr>
      </w:pPr>
      <w:r w:rsidRPr="00041ABC">
        <w:rPr>
          <w:b/>
          <w:sz w:val="28"/>
          <w:szCs w:val="28"/>
        </w:rPr>
        <w:t xml:space="preserve">Об утверждении Порядка формирования, ведения, опубликования перечня муниципального имущества сельского поселения </w:t>
      </w:r>
      <w:r w:rsidR="00207602" w:rsidRPr="00041ABC">
        <w:rPr>
          <w:b/>
          <w:sz w:val="28"/>
          <w:szCs w:val="28"/>
        </w:rPr>
        <w:t>Сикиязский</w:t>
      </w:r>
      <w:r w:rsidRPr="00041ABC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Башкортостан, свободного от прав третьих лиц 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74326F" w:rsidRDefault="0074326F" w:rsidP="0074326F">
      <w:pPr>
        <w:ind w:firstLine="900"/>
        <w:jc w:val="center"/>
        <w:rPr>
          <w:sz w:val="28"/>
          <w:szCs w:val="28"/>
        </w:rPr>
      </w:pPr>
    </w:p>
    <w:p w:rsidR="0074326F" w:rsidRPr="00041ABC" w:rsidRDefault="0074326F" w:rsidP="0074326F">
      <w:pPr>
        <w:ind w:firstLine="900"/>
        <w:jc w:val="both"/>
        <w:rPr>
          <w:sz w:val="28"/>
          <w:szCs w:val="28"/>
        </w:rPr>
      </w:pPr>
      <w:proofErr w:type="gramStart"/>
      <w:r w:rsidRPr="00041AB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Законом Республики Башкортостан от 28 декабря 2007 года № 511-З «О развитии малого и</w:t>
      </w:r>
      <w:proofErr w:type="gramEnd"/>
      <w:r w:rsidRPr="00041ABC">
        <w:rPr>
          <w:sz w:val="28"/>
          <w:szCs w:val="28"/>
        </w:rPr>
        <w:t xml:space="preserve"> </w:t>
      </w:r>
      <w:proofErr w:type="gramStart"/>
      <w:r w:rsidRPr="00041ABC">
        <w:rPr>
          <w:sz w:val="28"/>
          <w:szCs w:val="28"/>
        </w:rPr>
        <w:t>среднего предпринимательства в Республике Башкортостан», Постановлением Правительства Республики Башкортостан от 24 апреля 2020 года  № 262 «Об утверждении 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малого и среднего предпринимательства) и признании утратившим силу некоторых решений Правительства Республики Башкортостан», в целях реализации части</w:t>
      </w:r>
      <w:proofErr w:type="gramEnd"/>
      <w:r w:rsidRPr="00041ABC">
        <w:rPr>
          <w:sz w:val="28"/>
          <w:szCs w:val="28"/>
        </w:rPr>
        <w:t xml:space="preserve"> </w:t>
      </w:r>
      <w:proofErr w:type="gramStart"/>
      <w:r w:rsidRPr="00041ABC">
        <w:rPr>
          <w:sz w:val="28"/>
          <w:szCs w:val="28"/>
        </w:rPr>
        <w:t xml:space="preserve">4 и части 4.1 статьи 18 Федерального закона от 24 июля 2007 года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 муниципального района Дуванский район Республики Башкортостан, Совет 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 муниципального района Дуванский район Республики Башкортостан РЕШИЛ:</w:t>
      </w:r>
      <w:proofErr w:type="gramEnd"/>
    </w:p>
    <w:p w:rsidR="0074326F" w:rsidRPr="00041ABC" w:rsidRDefault="0074326F" w:rsidP="0074326F">
      <w:pPr>
        <w:numPr>
          <w:ilvl w:val="0"/>
          <w:numId w:val="3"/>
        </w:numPr>
        <w:jc w:val="both"/>
        <w:rPr>
          <w:sz w:val="28"/>
          <w:szCs w:val="28"/>
        </w:rPr>
      </w:pPr>
      <w:r w:rsidRPr="00041ABC">
        <w:rPr>
          <w:sz w:val="28"/>
          <w:szCs w:val="28"/>
        </w:rPr>
        <w:t>Утвердить прилагаемые:</w:t>
      </w:r>
    </w:p>
    <w:p w:rsidR="0074326F" w:rsidRPr="00041ABC" w:rsidRDefault="0074326F" w:rsidP="0074326F">
      <w:pPr>
        <w:ind w:firstLine="709"/>
        <w:jc w:val="both"/>
        <w:rPr>
          <w:sz w:val="28"/>
          <w:szCs w:val="28"/>
        </w:rPr>
      </w:pPr>
      <w:r w:rsidRPr="00041ABC">
        <w:rPr>
          <w:sz w:val="28"/>
          <w:szCs w:val="28"/>
        </w:rPr>
        <w:t xml:space="preserve">а) Порядок формирования, ведения, опубликования Перечня муниципального имущества 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 муниципального района Дуванский район Республики Башкортостан,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 (приложение № 1);</w:t>
      </w:r>
    </w:p>
    <w:p w:rsidR="0074326F" w:rsidRPr="00041ABC" w:rsidRDefault="0074326F" w:rsidP="0074326F">
      <w:pPr>
        <w:ind w:firstLine="709"/>
        <w:jc w:val="both"/>
        <w:rPr>
          <w:sz w:val="28"/>
          <w:szCs w:val="28"/>
        </w:rPr>
      </w:pPr>
      <w:proofErr w:type="gramStart"/>
      <w:r w:rsidRPr="00041ABC">
        <w:rPr>
          <w:sz w:val="28"/>
          <w:szCs w:val="28"/>
        </w:rPr>
        <w:t xml:space="preserve">б) форму Перечня муниципального имущества 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 муниципального района Дуванский район Республики Башкортостан, свободного от прав третьих лиц (за исключением прав хозяйственного ведения, права оперативного управления, а также </w:t>
      </w:r>
      <w:r w:rsidRPr="00041ABC">
        <w:rPr>
          <w:sz w:val="28"/>
          <w:szCs w:val="28"/>
        </w:rPr>
        <w:lastRenderedPageBreak/>
        <w:t>имущественных прав субъектов малого и среднего предпринимательства) для опубликования в средствах массовой информации, а также размещения в информационно-телекоммуникационной сети «Интернет» (приложение № 2);</w:t>
      </w:r>
      <w:proofErr w:type="gramEnd"/>
    </w:p>
    <w:p w:rsidR="0074326F" w:rsidRPr="00041ABC" w:rsidRDefault="0074326F" w:rsidP="0074326F">
      <w:pPr>
        <w:ind w:firstLine="709"/>
        <w:jc w:val="both"/>
        <w:rPr>
          <w:sz w:val="28"/>
          <w:szCs w:val="28"/>
        </w:rPr>
      </w:pPr>
      <w:r w:rsidRPr="00041ABC">
        <w:rPr>
          <w:sz w:val="28"/>
          <w:szCs w:val="28"/>
        </w:rPr>
        <w:t xml:space="preserve">в) виды муниципального имущества, которое используется для формирования Перечня муниципального имущества 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 муниципального района Дуванский район Республики Башкортостан,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 (приложение № 3);</w:t>
      </w:r>
    </w:p>
    <w:p w:rsidR="0074326F" w:rsidRPr="00041ABC" w:rsidRDefault="0074326F" w:rsidP="0074326F">
      <w:pPr>
        <w:ind w:firstLine="709"/>
        <w:jc w:val="both"/>
        <w:rPr>
          <w:sz w:val="28"/>
          <w:szCs w:val="28"/>
        </w:rPr>
      </w:pPr>
      <w:r w:rsidRPr="00041ABC">
        <w:rPr>
          <w:sz w:val="28"/>
          <w:szCs w:val="28"/>
        </w:rPr>
        <w:t xml:space="preserve">3. </w:t>
      </w:r>
      <w:r w:rsidRPr="00041ABC">
        <w:rPr>
          <w:bCs/>
          <w:sz w:val="28"/>
          <w:szCs w:val="28"/>
        </w:rPr>
        <w:t>Контроль над исполнением настоящего решения возложить на комиссию Совета по бюджету, налогам и вопросам собственности.</w:t>
      </w:r>
    </w:p>
    <w:p w:rsidR="0074326F" w:rsidRPr="00041ABC" w:rsidRDefault="0074326F" w:rsidP="0074326F">
      <w:pPr>
        <w:jc w:val="both"/>
        <w:rPr>
          <w:sz w:val="28"/>
          <w:szCs w:val="28"/>
        </w:rPr>
      </w:pPr>
    </w:p>
    <w:p w:rsidR="0074326F" w:rsidRPr="00041ABC" w:rsidRDefault="0074326F" w:rsidP="0074326F">
      <w:pPr>
        <w:jc w:val="both"/>
        <w:rPr>
          <w:sz w:val="28"/>
          <w:szCs w:val="28"/>
        </w:rPr>
      </w:pPr>
    </w:p>
    <w:p w:rsidR="0074326F" w:rsidRPr="00041ABC" w:rsidRDefault="0019634D" w:rsidP="0074326F">
      <w:pPr>
        <w:jc w:val="both"/>
        <w:rPr>
          <w:sz w:val="28"/>
          <w:szCs w:val="28"/>
        </w:rPr>
      </w:pPr>
      <w:r w:rsidRPr="00041ABC">
        <w:rPr>
          <w:sz w:val="28"/>
          <w:szCs w:val="28"/>
        </w:rPr>
        <w:t xml:space="preserve">Глава сельского поселения                                                                    Т.А. Пестерева </w:t>
      </w:r>
    </w:p>
    <w:p w:rsidR="0074326F" w:rsidRPr="00041ABC" w:rsidRDefault="0074326F" w:rsidP="0074326F">
      <w:pPr>
        <w:jc w:val="center"/>
        <w:rPr>
          <w:sz w:val="28"/>
          <w:szCs w:val="28"/>
        </w:rPr>
      </w:pPr>
      <w:r w:rsidRPr="00041ABC">
        <w:rPr>
          <w:sz w:val="28"/>
          <w:szCs w:val="28"/>
        </w:rPr>
        <w:t xml:space="preserve"> </w:t>
      </w: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Default="00D93C95" w:rsidP="00D93C95">
      <w:pPr>
        <w:rPr>
          <w:sz w:val="28"/>
          <w:szCs w:val="28"/>
        </w:rPr>
      </w:pPr>
      <w:r>
        <w:rPr>
          <w:sz w:val="28"/>
          <w:szCs w:val="28"/>
        </w:rPr>
        <w:t>№ 43</w:t>
      </w:r>
    </w:p>
    <w:p w:rsidR="00D93C95" w:rsidRPr="00041ABC" w:rsidRDefault="00D93C95" w:rsidP="00D93C95">
      <w:pPr>
        <w:rPr>
          <w:sz w:val="28"/>
          <w:szCs w:val="28"/>
        </w:rPr>
      </w:pPr>
      <w:r>
        <w:rPr>
          <w:sz w:val="28"/>
          <w:szCs w:val="28"/>
        </w:rPr>
        <w:t>От 15.06.2020 г.</w:t>
      </w: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A10868">
      <w:pPr>
        <w:rPr>
          <w:sz w:val="28"/>
          <w:szCs w:val="28"/>
        </w:rPr>
      </w:pPr>
    </w:p>
    <w:p w:rsidR="00A10868" w:rsidRPr="00041ABC" w:rsidRDefault="00A10868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19634D" w:rsidRPr="00041ABC" w:rsidRDefault="0019634D" w:rsidP="00A10868">
      <w:pPr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  <w:r w:rsidRPr="00041ABC"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74326F" w:rsidRPr="00041ABC" w:rsidRDefault="0074326F" w:rsidP="0074326F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74326F" w:rsidRPr="00041ABC" w:rsidRDefault="0074326F" w:rsidP="007432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к Решению Совета сельского поселения       </w:t>
      </w:r>
    </w:p>
    <w:p w:rsidR="0074326F" w:rsidRPr="00041ABC" w:rsidRDefault="0074326F" w:rsidP="007432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A10868" w:rsidRPr="00041ABC">
        <w:rPr>
          <w:rFonts w:ascii="Times New Roman" w:hAnsi="Times New Roman" w:cs="Times New Roman"/>
          <w:b w:val="0"/>
          <w:sz w:val="24"/>
          <w:szCs w:val="24"/>
        </w:rPr>
        <w:t>Сикиязский</w:t>
      </w: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</w:t>
      </w:r>
    </w:p>
    <w:p w:rsidR="0074326F" w:rsidRPr="00041ABC" w:rsidRDefault="0074326F" w:rsidP="0074326F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>Дуванский район Республики Башкортостан</w:t>
      </w:r>
    </w:p>
    <w:p w:rsidR="0074326F" w:rsidRPr="00041ABC" w:rsidRDefault="0074326F" w:rsidP="0074326F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>от ___  ___________ 2020 года  №____</w:t>
      </w:r>
    </w:p>
    <w:p w:rsidR="0074326F" w:rsidRPr="00041ABC" w:rsidRDefault="0074326F" w:rsidP="0074326F">
      <w:pPr>
        <w:jc w:val="center"/>
        <w:rPr>
          <w:bCs/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8"/>
          <w:szCs w:val="28"/>
        </w:rPr>
      </w:pPr>
    </w:p>
    <w:p w:rsidR="0074326F" w:rsidRPr="00041ABC" w:rsidRDefault="0074326F" w:rsidP="0074326F">
      <w:pPr>
        <w:jc w:val="center"/>
        <w:rPr>
          <w:sz w:val="24"/>
          <w:szCs w:val="24"/>
        </w:rPr>
      </w:pPr>
      <w:r w:rsidRPr="00041ABC">
        <w:rPr>
          <w:sz w:val="24"/>
          <w:szCs w:val="24"/>
        </w:rPr>
        <w:t>Порядок</w:t>
      </w:r>
    </w:p>
    <w:p w:rsidR="0074326F" w:rsidRPr="00041ABC" w:rsidRDefault="0074326F" w:rsidP="0074326F">
      <w:pPr>
        <w:jc w:val="center"/>
        <w:rPr>
          <w:sz w:val="24"/>
          <w:szCs w:val="24"/>
        </w:rPr>
      </w:pPr>
      <w:r w:rsidRPr="00041ABC">
        <w:rPr>
          <w:sz w:val="24"/>
          <w:szCs w:val="24"/>
        </w:rPr>
        <w:t xml:space="preserve">формирования, ведения, опубликования перечня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Башкортостан, 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4326F" w:rsidRPr="00041ABC" w:rsidRDefault="0074326F" w:rsidP="0074326F">
      <w:pPr>
        <w:rPr>
          <w:sz w:val="24"/>
          <w:szCs w:val="24"/>
        </w:rPr>
      </w:pPr>
    </w:p>
    <w:p w:rsidR="0074326F" w:rsidRPr="00041ABC" w:rsidRDefault="0074326F" w:rsidP="0074326F">
      <w:pPr>
        <w:ind w:left="720"/>
        <w:rPr>
          <w:sz w:val="24"/>
          <w:szCs w:val="24"/>
        </w:rPr>
      </w:pP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1. </w:t>
      </w:r>
      <w:proofErr w:type="gramStart"/>
      <w:r w:rsidRPr="00041ABC">
        <w:rPr>
          <w:sz w:val="24"/>
          <w:szCs w:val="24"/>
        </w:rPr>
        <w:t xml:space="preserve">Настоящий Порядок определяет правила формирования, ведения (в том числе ежегодного дополнения) и опубликования Перечня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предусмотренного  частью 4 статьи 18 Федерального закона от 24 июля 2007</w:t>
      </w:r>
      <w:proofErr w:type="gramEnd"/>
      <w:r w:rsidRPr="00041ABC">
        <w:rPr>
          <w:sz w:val="24"/>
          <w:szCs w:val="24"/>
        </w:rPr>
        <w:t xml:space="preserve"> </w:t>
      </w:r>
      <w:proofErr w:type="gramStart"/>
      <w:r w:rsidRPr="00041ABC">
        <w:rPr>
          <w:sz w:val="24"/>
          <w:szCs w:val="24"/>
        </w:rPr>
        <w:t>года № 209-ФЗ «О развитии малого и среднего предпринимательства в Российской Федерации» (далее соответственно – муниципальное имущество муниципального района Дуванский район Республики Башкортостан, Перечень),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041ABC">
        <w:rPr>
          <w:sz w:val="24"/>
          <w:szCs w:val="24"/>
        </w:rPr>
        <w:t xml:space="preserve"> предпринимательства.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2. Функции по формированию, ведению (в том числе ежегодного дополнения) и опубликования Перечня осуществляется Комитетом по управлению собственностью Министерства земельных и имущественных отношений Республики Башкортостан по Дуванскому району (далее </w:t>
      </w:r>
      <w:proofErr w:type="gramStart"/>
      <w:r w:rsidRPr="00041ABC">
        <w:rPr>
          <w:sz w:val="24"/>
          <w:szCs w:val="24"/>
        </w:rPr>
        <w:t>–К</w:t>
      </w:r>
      <w:proofErr w:type="gramEnd"/>
      <w:r w:rsidRPr="00041ABC">
        <w:rPr>
          <w:sz w:val="24"/>
          <w:szCs w:val="24"/>
        </w:rPr>
        <w:t xml:space="preserve">омитет) в соответствие с соглашением о взаимодействии Комитета по управлению собственностью Министерства земельных и имущественных отношений Республики Башкортостан по Дуванскому району с Администрацией 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 по вопросам управления муниципальным имуществом.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3.  В перечень вносятся сведения о муниципальном имуществе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Башкортостан, соответствующем следующим критериям: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а) муниципальное имущество </w:t>
      </w:r>
      <w:r w:rsidRPr="00041ABC">
        <w:rPr>
          <w:sz w:val="28"/>
          <w:szCs w:val="28"/>
        </w:rPr>
        <w:t>сельского поселения</w:t>
      </w:r>
      <w:r w:rsidR="00A10868" w:rsidRPr="00041ABC">
        <w:rPr>
          <w:sz w:val="28"/>
          <w:szCs w:val="28"/>
        </w:rPr>
        <w:t xml:space="preserve"> 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свободно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б) муниципальное имущество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не признанно аварийным и подлежащим сносу или реконструкции;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в) в отношении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г) муниципальное имущество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 xml:space="preserve">Сикиязский </w:t>
      </w:r>
      <w:r w:rsidRPr="00041ABC">
        <w:rPr>
          <w:sz w:val="28"/>
          <w:szCs w:val="28"/>
        </w:rPr>
        <w:t>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не является объектом религиозного назначения;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lastRenderedPageBreak/>
        <w:t xml:space="preserve">д) муниципальное имущество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 xml:space="preserve">Сикиязский </w:t>
      </w:r>
      <w:r w:rsidRPr="00041ABC">
        <w:rPr>
          <w:sz w:val="28"/>
          <w:szCs w:val="28"/>
        </w:rPr>
        <w:t>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е) в отношении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не принято решение Главы республики Башкортостан, Правительства Республики Башкортостан, Министерства земельных и имущественных  отношений Республики Башкортостан, Комитета по управлению собственностью Министерства земельных и имущественных отношений Республики Башкортостан по Дуванскому району о предоставлении его иным лицам;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з)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proofErr w:type="gramStart"/>
      <w:r w:rsidRPr="00041ABC">
        <w:rPr>
          <w:sz w:val="24"/>
          <w:szCs w:val="24"/>
        </w:rPr>
        <w:t xml:space="preserve">и) в отношении муниципального имущества </w:t>
      </w:r>
      <w:r w:rsidRPr="00041ABC">
        <w:rPr>
          <w:sz w:val="28"/>
          <w:szCs w:val="28"/>
        </w:rPr>
        <w:t>сельского поселения</w:t>
      </w:r>
      <w:r w:rsidR="00A10868" w:rsidRPr="00041ABC">
        <w:rPr>
          <w:sz w:val="28"/>
          <w:szCs w:val="28"/>
        </w:rPr>
        <w:t xml:space="preserve"> Сикиязский </w:t>
      </w:r>
      <w:r w:rsidRPr="00041ABC">
        <w:rPr>
          <w:sz w:val="28"/>
          <w:szCs w:val="28"/>
        </w:rPr>
        <w:t>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Башкортостан, закрепленного на  праве хозяйственного ведения или оперативного управления за муниципальным унитарным предприятием, на праве оперативного управления – за муниципальным учреждением, представлено предложение такого предприятия или учреждения о включении соответствующего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в перечень, а также согласие</w:t>
      </w:r>
      <w:proofErr w:type="gramEnd"/>
      <w:r w:rsidRPr="00041ABC">
        <w:rPr>
          <w:sz w:val="24"/>
          <w:szCs w:val="24"/>
        </w:rPr>
        <w:t xml:space="preserve"> органа муниципальной власти муниципального района Дуванский район Республики Башкортостан, уполномоченного на согласии сделки с соответствующим имуществом, на включение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 xml:space="preserve">Сикиязский </w:t>
      </w:r>
      <w:r w:rsidRPr="00041ABC">
        <w:rPr>
          <w:sz w:val="28"/>
          <w:szCs w:val="28"/>
        </w:rPr>
        <w:t>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в перечень;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proofErr w:type="gramStart"/>
      <w:r w:rsidRPr="00041ABC">
        <w:rPr>
          <w:sz w:val="24"/>
          <w:szCs w:val="24"/>
        </w:rPr>
        <w:t xml:space="preserve">к) муниципальное движимое имущество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 xml:space="preserve">Сикиязский </w:t>
      </w:r>
      <w:r w:rsidRPr="00041ABC">
        <w:rPr>
          <w:sz w:val="28"/>
          <w:szCs w:val="28"/>
        </w:rPr>
        <w:t>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Указанное имущество должно использоваться по целевому назначению.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4. </w:t>
      </w:r>
      <w:proofErr w:type="gramStart"/>
      <w:r w:rsidRPr="00041ABC">
        <w:rPr>
          <w:sz w:val="24"/>
          <w:szCs w:val="24"/>
        </w:rPr>
        <w:t xml:space="preserve">Утверждение перечня, а также внесение сведений о муниципальном имуществе муниципального района Дуванский район Республики Башкортостан в перечень (в том числе ежегодное дополнение), а также исключение сведений о муниципальном имуществе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из перечня осуществляется Постановлением главы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 xml:space="preserve">Сикиязский </w:t>
      </w:r>
      <w:r w:rsidRPr="00041ABC">
        <w:rPr>
          <w:sz w:val="28"/>
          <w:szCs w:val="28"/>
        </w:rPr>
        <w:t>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(далее Администрация сельского поселения) на основе</w:t>
      </w:r>
      <w:proofErr w:type="gramEnd"/>
      <w:r w:rsidRPr="00041ABC">
        <w:rPr>
          <w:sz w:val="24"/>
          <w:szCs w:val="24"/>
        </w:rPr>
        <w:t xml:space="preserve"> ежегодно представляемых предложений об актуализации перечня, направляемых в уполномоченный орган в срок до 1 сентября текущего года: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органов местного самоуправления;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муниципальных унитарных предприятий муниципального района Дуванский район Республики Башкортостан;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организаций, образующих инфраструктуру поддержки субъектов малого и среднего предпринимательства;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общероссийских некоммерческих организаций, выражающих интересы субъектов малого и среднего предпринимательства;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субъектов малого и среднего предпринимательства.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Представляемые предложения должны включать следующую информацию об указанном  в пункте 3 настоящего Порядка муниципальном имуществе </w:t>
      </w:r>
      <w:r w:rsidRPr="00041ABC">
        <w:rPr>
          <w:sz w:val="28"/>
          <w:szCs w:val="28"/>
        </w:rPr>
        <w:t xml:space="preserve">сельского </w:t>
      </w:r>
      <w:r w:rsidRPr="00041ABC">
        <w:rPr>
          <w:sz w:val="28"/>
          <w:szCs w:val="28"/>
        </w:rPr>
        <w:lastRenderedPageBreak/>
        <w:t xml:space="preserve">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Башкортостан: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а) наименование  и вид объекта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 район Республики Башкортостан;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б) местонахождение;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в) кадастровый номер (при наличии)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г) основные характеристики объекта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 xml:space="preserve">Сикиязский </w:t>
      </w:r>
      <w:r w:rsidRPr="00041ABC">
        <w:rPr>
          <w:sz w:val="28"/>
          <w:szCs w:val="28"/>
        </w:rPr>
        <w:t>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(основные характеристики, значения и единицы измерения объекта недвижимости указываются согласно сведениям из единого государственного реестра недвижимости):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proofErr w:type="gramStart"/>
      <w:r w:rsidRPr="00041ABC">
        <w:rPr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– протяженность в метрах; для подземных сооружений –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– площадь застройки в квадратных метрах;</w:t>
      </w:r>
      <w:proofErr w:type="gramEnd"/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 предусмотренная проектной документацией (при отсутствии сведений об объекте в государственном кадастре недвижимости);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д) наличие правообладателей и их количество;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е) срок действия договора (при его наличии);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ж) информация о подключении к сетям инженерной инфраструктуры, транспортной доступности (при наличии).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5. В целях рассмотрения поступивших предложений Администрацией сельского поселения создается межведомственная рабочая группа по формированию Перечня (далее – Рабочая группа).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Состав и положение о рабочей группе утверждаются приказом Уполномоченного органа.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 Комитет в срок до 1 октября текущего года обеспечивает  рассмотрение поступивших предложений на заседании рабочей группы.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По результатам рассмотрения предложений, указанных в пункте 4 настоящего Порядка, Рабочей группой принимается одно из следующих решений: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о включении в перечень сведений об имуществе, в отношении которого поступило предложение;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об исключении из перечня сведений об имуществе, в отношении которого поступило предложение;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об отказе в учете предложений о включении или исключении из перечня сведений об имуществе, в отношении которого поступило предложение.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Решения Рабочей группы оформляются протоколом.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Комитет в течение 15 дней со дня подписания протокола председателем Рабочей группы принимает решение о  включении в перечень сведений об имуществе, об исключении из перечня сведений об имуществе, о внесении в перечень изменений либо об отказе от внесения изменений.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6. Комитет исключает из перечня сведения о муниципальном имуществе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Башкортостан, а также отказывает в учете предложений о включении в перечень или исключении из перечня сведений об имуществе, в отношении которого поступило предложение, в случае если: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в отношении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 xml:space="preserve">Сикиязский 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в установленном законодательством порядке принято решение о его использовании для муниципальных нужд либо для иных целей;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lastRenderedPageBreak/>
        <w:t xml:space="preserve">право муниципальной собственности </w:t>
      </w:r>
      <w:r w:rsidRPr="00041ABC">
        <w:rPr>
          <w:sz w:val="28"/>
          <w:szCs w:val="28"/>
        </w:rPr>
        <w:t>сельского поселения</w:t>
      </w:r>
      <w:r w:rsidR="00A10868" w:rsidRPr="00041ABC">
        <w:rPr>
          <w:sz w:val="28"/>
          <w:szCs w:val="28"/>
        </w:rPr>
        <w:t xml:space="preserve"> 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на имущество прекращено по решению суда или в ином установленном законом порядке;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муниципальное имущество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не соответствует критериям, установленным пунктом 3 настоящего порядка.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7. </w:t>
      </w:r>
      <w:proofErr w:type="gramStart"/>
      <w:r w:rsidRPr="00041ABC">
        <w:rPr>
          <w:sz w:val="24"/>
          <w:szCs w:val="24"/>
        </w:rPr>
        <w:t xml:space="preserve">В случае принятия решения о включении или об отказе в учете предложений, указанных в пункте 4 настоящего Порядка, Комитет в течение 30 дней со дня проведения заседания Рабочей группой направляет лицу, представившему предложение, мотивирующий ответ о невозможности включения в перечень сведений о муниципальном имуществе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Башкортостан, о включении в перечень сведений о</w:t>
      </w:r>
      <w:proofErr w:type="gramEnd"/>
      <w:r w:rsidRPr="00041ABC">
        <w:rPr>
          <w:sz w:val="24"/>
          <w:szCs w:val="24"/>
        </w:rPr>
        <w:t xml:space="preserve"> </w:t>
      </w:r>
      <w:proofErr w:type="gramStart"/>
      <w:r w:rsidRPr="00041ABC">
        <w:rPr>
          <w:sz w:val="24"/>
          <w:szCs w:val="24"/>
        </w:rPr>
        <w:t xml:space="preserve">муниципальном имуществе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или об исключении из перечня сведений о муниципальном имуществе</w:t>
      </w:r>
      <w:r w:rsidRPr="00041ABC">
        <w:rPr>
          <w:sz w:val="28"/>
          <w:szCs w:val="28"/>
        </w:rPr>
        <w:t xml:space="preserve"> 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Башкортостан.</w:t>
      </w:r>
      <w:proofErr w:type="gramEnd"/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proofErr w:type="gramStart"/>
      <w:r w:rsidRPr="00041ABC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 в обращении, поступившим в Комитет в форме электронного документа, и в письменной форме по почтовому адресу, указанному в обращении, поступившем в Уполномоченный орган в письменной форме.</w:t>
      </w:r>
      <w:proofErr w:type="gramEnd"/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8. Перечень и внесенные в него изменения подлежат размещению Администрацией сельского поселения на официальном сайте Администрации сельского поселения и Едином портале Республики Башкортостан в сфере бизнеса и инвестиций в информационно - телекоммуникационной сети Интернет в течение 3 рабочих дней со дня внесения изменений в перечень. </w:t>
      </w:r>
    </w:p>
    <w:p w:rsidR="0074326F" w:rsidRPr="00041ABC" w:rsidRDefault="0074326F" w:rsidP="0074326F">
      <w:pPr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 xml:space="preserve">9. </w:t>
      </w:r>
      <w:proofErr w:type="gramStart"/>
      <w:r w:rsidRPr="00041ABC">
        <w:rPr>
          <w:sz w:val="24"/>
          <w:szCs w:val="24"/>
        </w:rPr>
        <w:t xml:space="preserve">Комитет совместно с Администрацией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 xml:space="preserve">Сикиязский </w:t>
      </w:r>
      <w:r w:rsidRPr="00041ABC">
        <w:rPr>
          <w:sz w:val="28"/>
          <w:szCs w:val="28"/>
        </w:rPr>
        <w:t>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Башкортостан, указанного в пункте 3</w:t>
      </w:r>
      <w:proofErr w:type="gramEnd"/>
      <w:r w:rsidRPr="00041ABC">
        <w:rPr>
          <w:sz w:val="24"/>
          <w:szCs w:val="24"/>
        </w:rPr>
        <w:t xml:space="preserve"> настоящего Порядка.</w:t>
      </w: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</w:pPr>
    </w:p>
    <w:p w:rsidR="0074326F" w:rsidRPr="00041ABC" w:rsidRDefault="0074326F" w:rsidP="0074326F">
      <w:pPr>
        <w:spacing w:line="360" w:lineRule="auto"/>
        <w:jc w:val="both"/>
        <w:rPr>
          <w:sz w:val="28"/>
          <w:szCs w:val="28"/>
        </w:rPr>
        <w:sectPr w:rsidR="0074326F" w:rsidRPr="00041ABC" w:rsidSect="00E20DE0">
          <w:pgSz w:w="11907" w:h="16840"/>
          <w:pgMar w:top="567" w:right="567" w:bottom="567" w:left="1531" w:header="720" w:footer="720" w:gutter="0"/>
          <w:cols w:space="720"/>
        </w:sectPr>
      </w:pPr>
    </w:p>
    <w:p w:rsidR="0074326F" w:rsidRPr="00041ABC" w:rsidRDefault="0074326F" w:rsidP="0074326F">
      <w:pPr>
        <w:pStyle w:val="ConsPlusTitle"/>
        <w:ind w:firstLine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</w:t>
      </w:r>
      <w:r w:rsidR="00A10868"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</w:t>
      </w:r>
    </w:p>
    <w:p w:rsidR="0074326F" w:rsidRPr="00041ABC" w:rsidRDefault="0074326F" w:rsidP="007432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10868"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</w:t>
      </w:r>
    </w:p>
    <w:p w:rsidR="0074326F" w:rsidRPr="00041ABC" w:rsidRDefault="0074326F" w:rsidP="007432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10868"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Сикиязский</w:t>
      </w: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</w:t>
      </w:r>
    </w:p>
    <w:p w:rsidR="0074326F" w:rsidRPr="00041ABC" w:rsidRDefault="0074326F" w:rsidP="0074326F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A10868"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041ABC">
        <w:rPr>
          <w:rFonts w:ascii="Times New Roman" w:hAnsi="Times New Roman" w:cs="Times New Roman"/>
          <w:b w:val="0"/>
          <w:sz w:val="24"/>
          <w:szCs w:val="24"/>
        </w:rPr>
        <w:t>Дуванский район Республики Башкортостан</w:t>
      </w:r>
    </w:p>
    <w:p w:rsidR="0074326F" w:rsidRPr="00041ABC" w:rsidRDefault="0074326F" w:rsidP="0074326F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A10868"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041ABC">
        <w:rPr>
          <w:rFonts w:ascii="Times New Roman" w:hAnsi="Times New Roman" w:cs="Times New Roman"/>
          <w:b w:val="0"/>
          <w:sz w:val="24"/>
          <w:szCs w:val="24"/>
        </w:rPr>
        <w:t>от ___  ___________ 2020 года  №____</w:t>
      </w:r>
    </w:p>
    <w:p w:rsidR="0074326F" w:rsidRPr="00041ABC" w:rsidRDefault="0074326F" w:rsidP="007432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4326F" w:rsidRPr="00041ABC" w:rsidRDefault="0074326F" w:rsidP="007432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74326F" w:rsidRPr="00041ABC" w:rsidRDefault="0074326F" w:rsidP="0074326F">
      <w:pPr>
        <w:jc w:val="center"/>
        <w:rPr>
          <w:sz w:val="24"/>
          <w:szCs w:val="24"/>
        </w:rPr>
      </w:pPr>
      <w:r w:rsidRPr="00041ABC">
        <w:rPr>
          <w:sz w:val="24"/>
          <w:szCs w:val="24"/>
        </w:rPr>
        <w:t xml:space="preserve">перечня муниципального имущества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4326F" w:rsidRPr="00041ABC" w:rsidRDefault="0074326F" w:rsidP="007432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79"/>
        <w:gridCol w:w="992"/>
        <w:gridCol w:w="425"/>
        <w:gridCol w:w="2552"/>
        <w:gridCol w:w="1134"/>
        <w:gridCol w:w="1417"/>
        <w:gridCol w:w="426"/>
        <w:gridCol w:w="850"/>
        <w:gridCol w:w="567"/>
        <w:gridCol w:w="567"/>
        <w:gridCol w:w="567"/>
        <w:gridCol w:w="567"/>
        <w:gridCol w:w="425"/>
        <w:gridCol w:w="567"/>
        <w:gridCol w:w="567"/>
        <w:gridCol w:w="993"/>
        <w:gridCol w:w="706"/>
        <w:gridCol w:w="428"/>
        <w:gridCol w:w="567"/>
        <w:gridCol w:w="425"/>
        <w:gridCol w:w="425"/>
        <w:gridCol w:w="425"/>
      </w:tblGrid>
      <w:tr w:rsidR="0074326F" w:rsidRPr="00041ABC" w:rsidTr="00E63F4E">
        <w:tc>
          <w:tcPr>
            <w:tcW w:w="480" w:type="dxa"/>
            <w:vMerge w:val="restart"/>
            <w:textDirection w:val="btLr"/>
          </w:tcPr>
          <w:p w:rsidR="0074326F" w:rsidRPr="00041ABC" w:rsidRDefault="0074326F" w:rsidP="00E63F4E">
            <w:pPr>
              <w:ind w:left="113" w:right="113"/>
            </w:pPr>
            <w:r w:rsidRPr="00041ABC">
              <w:t xml:space="preserve">№ </w:t>
            </w:r>
            <w:proofErr w:type="gramStart"/>
            <w:r w:rsidRPr="00041ABC">
              <w:t>п</w:t>
            </w:r>
            <w:proofErr w:type="gramEnd"/>
            <w:r w:rsidRPr="00041ABC">
              <w:t>/п</w:t>
            </w:r>
          </w:p>
          <w:p w:rsidR="0074326F" w:rsidRPr="00041ABC" w:rsidRDefault="0074326F" w:rsidP="00E63F4E">
            <w:pPr>
              <w:ind w:left="113" w:right="113"/>
            </w:pPr>
          </w:p>
        </w:tc>
        <w:tc>
          <w:tcPr>
            <w:tcW w:w="479" w:type="dxa"/>
            <w:vMerge w:val="restart"/>
            <w:textDirection w:val="btLr"/>
          </w:tcPr>
          <w:p w:rsidR="0074326F" w:rsidRPr="00041ABC" w:rsidRDefault="0074326F" w:rsidP="00E63F4E">
            <w:pPr>
              <w:ind w:left="113" w:right="113"/>
            </w:pPr>
            <w:r w:rsidRPr="00041ABC">
              <w:t>Адрес (местоположение) объекта   &lt;1&gt;</w:t>
            </w:r>
          </w:p>
          <w:p w:rsidR="0074326F" w:rsidRPr="00041ABC" w:rsidRDefault="0074326F" w:rsidP="00E63F4E">
            <w:pPr>
              <w:ind w:left="113" w:right="113"/>
            </w:pPr>
          </w:p>
        </w:tc>
        <w:tc>
          <w:tcPr>
            <w:tcW w:w="992" w:type="dxa"/>
            <w:vMerge w:val="restart"/>
            <w:textDirection w:val="btLr"/>
          </w:tcPr>
          <w:p w:rsidR="0074326F" w:rsidRPr="00041ABC" w:rsidRDefault="0074326F" w:rsidP="00E63F4E">
            <w:pPr>
              <w:ind w:left="113" w:right="113"/>
            </w:pPr>
            <w:r w:rsidRPr="00041ABC">
              <w:t>Вид объекта недвижимости: тип движимого имущества &lt;2&gt;</w:t>
            </w:r>
          </w:p>
          <w:p w:rsidR="0074326F" w:rsidRPr="00041ABC" w:rsidRDefault="0074326F" w:rsidP="00E63F4E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74326F" w:rsidRPr="00041ABC" w:rsidRDefault="0074326F" w:rsidP="00E63F4E">
            <w:pPr>
              <w:ind w:left="113" w:right="113"/>
            </w:pPr>
            <w:r w:rsidRPr="00041ABC">
              <w:t>Наименования объекта учета &lt;3&gt;</w:t>
            </w:r>
          </w:p>
          <w:p w:rsidR="0074326F" w:rsidRPr="00041ABC" w:rsidRDefault="0074326F" w:rsidP="00E63F4E">
            <w:pPr>
              <w:ind w:left="113" w:right="113"/>
            </w:pPr>
          </w:p>
        </w:tc>
        <w:tc>
          <w:tcPr>
            <w:tcW w:w="8080" w:type="dxa"/>
            <w:gridSpan w:val="8"/>
          </w:tcPr>
          <w:p w:rsidR="0074326F" w:rsidRPr="00041ABC" w:rsidRDefault="0074326F" w:rsidP="00E63F4E">
            <w:r w:rsidRPr="00041ABC">
              <w:t xml:space="preserve">Сведения о недвижимом имуществе </w:t>
            </w:r>
          </w:p>
        </w:tc>
        <w:tc>
          <w:tcPr>
            <w:tcW w:w="2126" w:type="dxa"/>
            <w:gridSpan w:val="4"/>
          </w:tcPr>
          <w:p w:rsidR="0074326F" w:rsidRPr="00041ABC" w:rsidRDefault="0074326F" w:rsidP="00E63F4E">
            <w:r w:rsidRPr="00041ABC">
              <w:t>Сведения о движимом имуществе</w:t>
            </w:r>
          </w:p>
        </w:tc>
        <w:tc>
          <w:tcPr>
            <w:tcW w:w="3969" w:type="dxa"/>
            <w:gridSpan w:val="7"/>
          </w:tcPr>
          <w:p w:rsidR="0074326F" w:rsidRPr="00041ABC" w:rsidRDefault="0074326F" w:rsidP="00E63F4E">
            <w:r w:rsidRPr="00041ABC">
              <w:t>Сведения о правообладателях и о правах третьих лиц на имущество</w:t>
            </w:r>
          </w:p>
        </w:tc>
      </w:tr>
      <w:tr w:rsidR="0074326F" w:rsidRPr="00041ABC" w:rsidTr="00E63F4E">
        <w:trPr>
          <w:cantSplit/>
          <w:trHeight w:val="1134"/>
        </w:trPr>
        <w:tc>
          <w:tcPr>
            <w:tcW w:w="480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4326F" w:rsidRPr="00041ABC" w:rsidRDefault="0074326F" w:rsidP="00E63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74326F" w:rsidRPr="00041ABC" w:rsidRDefault="0074326F" w:rsidP="00E63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Основная характеристика объекта недвижимости  &lt;4&gt;</w:t>
            </w:r>
          </w:p>
        </w:tc>
        <w:tc>
          <w:tcPr>
            <w:tcW w:w="1276" w:type="dxa"/>
            <w:gridSpan w:val="2"/>
          </w:tcPr>
          <w:p w:rsidR="0074326F" w:rsidRPr="00041ABC" w:rsidRDefault="0074326F" w:rsidP="00E63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567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Техническое состояние объекта  недвижимости  &lt;6&gt;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Категория земель &lt;7&gt;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Марка модели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Год выпуска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Состав (принадлежности) имущества &lt;9&gt;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428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Наименование правообладателя &lt;11&gt;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Наличие ограниченного вещного права на имущество &lt;12&gt;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ИНН правообладателя &lt;13&gt;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Контактный номер телефона &lt;14&gt;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Адрес электронной почты &lt;15&gt;</w:t>
            </w:r>
          </w:p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6F" w:rsidRPr="00041ABC" w:rsidTr="00E63F4E">
        <w:trPr>
          <w:cantSplit/>
          <w:trHeight w:val="1134"/>
        </w:trPr>
        <w:tc>
          <w:tcPr>
            <w:tcW w:w="480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4326F" w:rsidRPr="00041ABC" w:rsidRDefault="0074326F" w:rsidP="00E63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1ABC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041ABC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041ABC">
              <w:rPr>
                <w:rFonts w:ascii="Times New Roman" w:hAnsi="Times New Roman" w:cs="Times New Roman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1417" w:type="dxa"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1ABC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26" w:type="dxa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706" w:type="dxa"/>
            <w:textDirection w:val="btLr"/>
          </w:tcPr>
          <w:p w:rsidR="0074326F" w:rsidRPr="00041ABC" w:rsidRDefault="0074326F" w:rsidP="00E63F4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41ABC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428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4326F" w:rsidRPr="00041ABC" w:rsidRDefault="0074326F" w:rsidP="00E6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6F" w:rsidRPr="00041ABC" w:rsidTr="00E63F4E">
        <w:tc>
          <w:tcPr>
            <w:tcW w:w="480" w:type="dxa"/>
          </w:tcPr>
          <w:p w:rsidR="0074326F" w:rsidRPr="00041ABC" w:rsidRDefault="0074326F" w:rsidP="00E63F4E">
            <w:r w:rsidRPr="00041ABC">
              <w:t>1</w:t>
            </w:r>
          </w:p>
        </w:tc>
        <w:tc>
          <w:tcPr>
            <w:tcW w:w="479" w:type="dxa"/>
          </w:tcPr>
          <w:p w:rsidR="0074326F" w:rsidRPr="00041ABC" w:rsidRDefault="0074326F" w:rsidP="00E63F4E">
            <w:r w:rsidRPr="00041ABC">
              <w:t>2</w:t>
            </w:r>
          </w:p>
        </w:tc>
        <w:tc>
          <w:tcPr>
            <w:tcW w:w="992" w:type="dxa"/>
          </w:tcPr>
          <w:p w:rsidR="0074326F" w:rsidRPr="00041ABC" w:rsidRDefault="0074326F" w:rsidP="00E63F4E">
            <w:r w:rsidRPr="00041ABC">
              <w:t>3</w:t>
            </w:r>
          </w:p>
        </w:tc>
        <w:tc>
          <w:tcPr>
            <w:tcW w:w="425" w:type="dxa"/>
          </w:tcPr>
          <w:p w:rsidR="0074326F" w:rsidRPr="00041ABC" w:rsidRDefault="0074326F" w:rsidP="00E63F4E">
            <w:r w:rsidRPr="00041ABC">
              <w:t>4</w:t>
            </w:r>
          </w:p>
        </w:tc>
        <w:tc>
          <w:tcPr>
            <w:tcW w:w="2552" w:type="dxa"/>
          </w:tcPr>
          <w:p w:rsidR="0074326F" w:rsidRPr="00041ABC" w:rsidRDefault="0074326F" w:rsidP="00E63F4E">
            <w:r w:rsidRPr="00041ABC">
              <w:t>5</w:t>
            </w:r>
          </w:p>
        </w:tc>
        <w:tc>
          <w:tcPr>
            <w:tcW w:w="1134" w:type="dxa"/>
          </w:tcPr>
          <w:p w:rsidR="0074326F" w:rsidRPr="00041ABC" w:rsidRDefault="0074326F" w:rsidP="00E63F4E">
            <w:r w:rsidRPr="00041ABC">
              <w:t>6</w:t>
            </w:r>
          </w:p>
        </w:tc>
        <w:tc>
          <w:tcPr>
            <w:tcW w:w="1417" w:type="dxa"/>
          </w:tcPr>
          <w:p w:rsidR="0074326F" w:rsidRPr="00041ABC" w:rsidRDefault="0074326F" w:rsidP="00E63F4E">
            <w:r w:rsidRPr="00041ABC">
              <w:t>7</w:t>
            </w:r>
          </w:p>
        </w:tc>
        <w:tc>
          <w:tcPr>
            <w:tcW w:w="426" w:type="dxa"/>
          </w:tcPr>
          <w:p w:rsidR="0074326F" w:rsidRPr="00041ABC" w:rsidRDefault="0074326F" w:rsidP="00E63F4E">
            <w:r w:rsidRPr="00041ABC">
              <w:t>8</w:t>
            </w:r>
          </w:p>
        </w:tc>
        <w:tc>
          <w:tcPr>
            <w:tcW w:w="850" w:type="dxa"/>
          </w:tcPr>
          <w:p w:rsidR="0074326F" w:rsidRPr="00041ABC" w:rsidRDefault="0074326F" w:rsidP="00E63F4E">
            <w:r w:rsidRPr="00041ABC">
              <w:t>9</w:t>
            </w:r>
          </w:p>
        </w:tc>
        <w:tc>
          <w:tcPr>
            <w:tcW w:w="567" w:type="dxa"/>
          </w:tcPr>
          <w:p w:rsidR="0074326F" w:rsidRPr="00041ABC" w:rsidRDefault="0074326F" w:rsidP="00E63F4E">
            <w:r w:rsidRPr="00041ABC">
              <w:t>10</w:t>
            </w:r>
          </w:p>
        </w:tc>
        <w:tc>
          <w:tcPr>
            <w:tcW w:w="567" w:type="dxa"/>
          </w:tcPr>
          <w:p w:rsidR="0074326F" w:rsidRPr="00041ABC" w:rsidRDefault="0074326F" w:rsidP="00E63F4E">
            <w:r w:rsidRPr="00041ABC">
              <w:t>11</w:t>
            </w:r>
          </w:p>
        </w:tc>
        <w:tc>
          <w:tcPr>
            <w:tcW w:w="567" w:type="dxa"/>
          </w:tcPr>
          <w:p w:rsidR="0074326F" w:rsidRPr="00041ABC" w:rsidRDefault="0074326F" w:rsidP="00E63F4E">
            <w:r w:rsidRPr="00041ABC">
              <w:t>12</w:t>
            </w:r>
          </w:p>
        </w:tc>
        <w:tc>
          <w:tcPr>
            <w:tcW w:w="567" w:type="dxa"/>
          </w:tcPr>
          <w:p w:rsidR="0074326F" w:rsidRPr="00041ABC" w:rsidRDefault="0074326F" w:rsidP="00E63F4E">
            <w:r w:rsidRPr="00041ABC">
              <w:t>13</w:t>
            </w:r>
          </w:p>
        </w:tc>
        <w:tc>
          <w:tcPr>
            <w:tcW w:w="425" w:type="dxa"/>
          </w:tcPr>
          <w:p w:rsidR="0074326F" w:rsidRPr="00041ABC" w:rsidRDefault="0074326F" w:rsidP="00E63F4E">
            <w:r w:rsidRPr="00041ABC">
              <w:t>14</w:t>
            </w:r>
          </w:p>
        </w:tc>
        <w:tc>
          <w:tcPr>
            <w:tcW w:w="567" w:type="dxa"/>
          </w:tcPr>
          <w:p w:rsidR="0074326F" w:rsidRPr="00041ABC" w:rsidRDefault="0074326F" w:rsidP="00E63F4E">
            <w:r w:rsidRPr="00041ABC">
              <w:t>15</w:t>
            </w:r>
          </w:p>
        </w:tc>
        <w:tc>
          <w:tcPr>
            <w:tcW w:w="567" w:type="dxa"/>
          </w:tcPr>
          <w:p w:rsidR="0074326F" w:rsidRPr="00041ABC" w:rsidRDefault="0074326F" w:rsidP="00E63F4E">
            <w:r w:rsidRPr="00041ABC">
              <w:t>16</w:t>
            </w:r>
          </w:p>
        </w:tc>
        <w:tc>
          <w:tcPr>
            <w:tcW w:w="993" w:type="dxa"/>
          </w:tcPr>
          <w:p w:rsidR="0074326F" w:rsidRPr="00041ABC" w:rsidRDefault="0074326F" w:rsidP="00E63F4E">
            <w:r w:rsidRPr="00041ABC">
              <w:t>17</w:t>
            </w:r>
          </w:p>
        </w:tc>
        <w:tc>
          <w:tcPr>
            <w:tcW w:w="706" w:type="dxa"/>
          </w:tcPr>
          <w:p w:rsidR="0074326F" w:rsidRPr="00041ABC" w:rsidRDefault="0074326F" w:rsidP="00E63F4E">
            <w:r w:rsidRPr="00041ABC">
              <w:t>18</w:t>
            </w:r>
          </w:p>
        </w:tc>
        <w:tc>
          <w:tcPr>
            <w:tcW w:w="428" w:type="dxa"/>
          </w:tcPr>
          <w:p w:rsidR="0074326F" w:rsidRPr="00041ABC" w:rsidRDefault="0074326F" w:rsidP="00E63F4E">
            <w:r w:rsidRPr="00041ABC">
              <w:t>19</w:t>
            </w:r>
          </w:p>
        </w:tc>
        <w:tc>
          <w:tcPr>
            <w:tcW w:w="567" w:type="dxa"/>
          </w:tcPr>
          <w:p w:rsidR="0074326F" w:rsidRPr="00041ABC" w:rsidRDefault="0074326F" w:rsidP="00E63F4E">
            <w:r w:rsidRPr="00041ABC">
              <w:t>20</w:t>
            </w:r>
          </w:p>
        </w:tc>
        <w:tc>
          <w:tcPr>
            <w:tcW w:w="425" w:type="dxa"/>
          </w:tcPr>
          <w:p w:rsidR="0074326F" w:rsidRPr="00041ABC" w:rsidRDefault="0074326F" w:rsidP="00E63F4E">
            <w:r w:rsidRPr="00041ABC">
              <w:t>21</w:t>
            </w:r>
          </w:p>
        </w:tc>
        <w:tc>
          <w:tcPr>
            <w:tcW w:w="425" w:type="dxa"/>
          </w:tcPr>
          <w:p w:rsidR="0074326F" w:rsidRPr="00041ABC" w:rsidRDefault="0074326F" w:rsidP="00E63F4E">
            <w:r w:rsidRPr="00041ABC">
              <w:t>22</w:t>
            </w:r>
          </w:p>
        </w:tc>
        <w:tc>
          <w:tcPr>
            <w:tcW w:w="425" w:type="dxa"/>
          </w:tcPr>
          <w:p w:rsidR="0074326F" w:rsidRPr="00041ABC" w:rsidRDefault="0074326F" w:rsidP="00E63F4E">
            <w:r w:rsidRPr="00041ABC">
              <w:t>23</w:t>
            </w:r>
          </w:p>
        </w:tc>
      </w:tr>
    </w:tbl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204"/>
      <w:bookmarkEnd w:id="2"/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 xml:space="preserve">&gt; </w:t>
      </w:r>
      <w:bookmarkStart w:id="3" w:name="P205"/>
      <w:bookmarkEnd w:id="3"/>
      <w:r w:rsidRPr="00041ABC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206"/>
      <w:bookmarkEnd w:id="4"/>
      <w:r w:rsidRPr="00041ABC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207"/>
      <w:bookmarkEnd w:id="5"/>
      <w:r w:rsidRPr="00041ABC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</w:t>
      </w:r>
      <w:r w:rsidRPr="00041ABC">
        <w:rPr>
          <w:rFonts w:ascii="Times New Roman" w:hAnsi="Times New Roman" w:cs="Times New Roman"/>
          <w:sz w:val="16"/>
          <w:szCs w:val="16"/>
        </w:rPr>
        <w:lastRenderedPageBreak/>
        <w:t>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&lt;7&gt;, &lt;8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&lt;9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казывается «Да» или «Нет».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&lt;12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74326F" w:rsidRPr="00041ABC" w:rsidRDefault="0074326F" w:rsidP="007432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41ABC">
        <w:rPr>
          <w:rFonts w:ascii="Times New Roman" w:hAnsi="Times New Roman" w:cs="Times New Roman"/>
          <w:sz w:val="16"/>
          <w:szCs w:val="16"/>
        </w:rPr>
        <w:t>&lt;14&gt;, &lt;15</w:t>
      </w:r>
      <w:proofErr w:type="gramStart"/>
      <w:r w:rsidRPr="00041AB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41ABC">
        <w:rPr>
          <w:rFonts w:ascii="Times New Roman" w:hAnsi="Times New Roman" w:cs="Times New Roman"/>
          <w:sz w:val="16"/>
          <w:szCs w:val="16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4326F" w:rsidRPr="00041ABC" w:rsidRDefault="0074326F" w:rsidP="0074326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74326F" w:rsidRPr="00041ABC" w:rsidRDefault="0074326F" w:rsidP="0074326F">
      <w:pPr>
        <w:spacing w:line="360" w:lineRule="auto"/>
        <w:jc w:val="both"/>
        <w:rPr>
          <w:sz w:val="16"/>
          <w:szCs w:val="16"/>
        </w:rPr>
      </w:pPr>
    </w:p>
    <w:p w:rsidR="0074326F" w:rsidRPr="00041ABC" w:rsidRDefault="0074326F" w:rsidP="0074326F">
      <w:pPr>
        <w:jc w:val="both"/>
        <w:rPr>
          <w:sz w:val="28"/>
          <w:szCs w:val="28"/>
        </w:rPr>
        <w:sectPr w:rsidR="0074326F" w:rsidRPr="00041ABC" w:rsidSect="00711CEE">
          <w:pgSz w:w="16840" w:h="11907" w:orient="landscape"/>
          <w:pgMar w:top="567" w:right="232" w:bottom="567" w:left="227" w:header="720" w:footer="720" w:gutter="0"/>
          <w:cols w:space="720"/>
        </w:sectPr>
      </w:pPr>
    </w:p>
    <w:p w:rsidR="0074326F" w:rsidRPr="00041ABC" w:rsidRDefault="00A10868" w:rsidP="0074326F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</w:t>
      </w:r>
      <w:r w:rsidR="0074326F" w:rsidRPr="00041AB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3 </w:t>
      </w:r>
    </w:p>
    <w:p w:rsidR="0074326F" w:rsidRPr="00041ABC" w:rsidRDefault="0074326F" w:rsidP="007432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к Решению Совета муниципального района</w:t>
      </w:r>
      <w:r w:rsidR="00A10868" w:rsidRPr="00041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A10868" w:rsidRPr="00041ABC">
        <w:rPr>
          <w:rFonts w:ascii="Times New Roman" w:hAnsi="Times New Roman" w:cs="Times New Roman"/>
          <w:b w:val="0"/>
          <w:sz w:val="24"/>
          <w:szCs w:val="24"/>
        </w:rPr>
        <w:t xml:space="preserve">Сикиязский </w:t>
      </w:r>
      <w:r w:rsidRPr="00041ABC">
        <w:rPr>
          <w:rFonts w:ascii="Times New Roman" w:hAnsi="Times New Roman" w:cs="Times New Roman"/>
          <w:b w:val="0"/>
          <w:sz w:val="24"/>
          <w:szCs w:val="24"/>
        </w:rPr>
        <w:t>сельсовет</w:t>
      </w:r>
    </w:p>
    <w:p w:rsidR="0074326F" w:rsidRPr="00041ABC" w:rsidRDefault="00A10868" w:rsidP="0074326F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326F" w:rsidRPr="00041ABC">
        <w:rPr>
          <w:rFonts w:ascii="Times New Roman" w:hAnsi="Times New Roman" w:cs="Times New Roman"/>
          <w:b w:val="0"/>
          <w:sz w:val="24"/>
          <w:szCs w:val="24"/>
        </w:rPr>
        <w:t>Дуванский район Республики Башкортостан</w:t>
      </w:r>
    </w:p>
    <w:p w:rsidR="0074326F" w:rsidRPr="00041ABC" w:rsidRDefault="0074326F" w:rsidP="0074326F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041ABC">
        <w:rPr>
          <w:rFonts w:ascii="Times New Roman" w:hAnsi="Times New Roman" w:cs="Times New Roman"/>
          <w:b w:val="0"/>
          <w:sz w:val="24"/>
          <w:szCs w:val="24"/>
        </w:rPr>
        <w:t xml:space="preserve">        от ___  ___________ 2020 года  №____</w:t>
      </w:r>
    </w:p>
    <w:p w:rsidR="0074326F" w:rsidRPr="00041ABC" w:rsidRDefault="0074326F" w:rsidP="0074326F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</w:p>
    <w:p w:rsidR="0074326F" w:rsidRPr="00041ABC" w:rsidRDefault="0074326F" w:rsidP="0074326F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</w:p>
    <w:p w:rsidR="0074326F" w:rsidRPr="00041ABC" w:rsidRDefault="0074326F" w:rsidP="0074326F">
      <w:pPr>
        <w:jc w:val="center"/>
        <w:rPr>
          <w:sz w:val="24"/>
          <w:szCs w:val="24"/>
        </w:rPr>
      </w:pPr>
      <w:r w:rsidRPr="00041ABC">
        <w:rPr>
          <w:sz w:val="24"/>
          <w:szCs w:val="24"/>
        </w:rPr>
        <w:t>Виды</w:t>
      </w:r>
    </w:p>
    <w:p w:rsidR="0074326F" w:rsidRPr="00041ABC" w:rsidRDefault="0074326F" w:rsidP="0074326F">
      <w:pPr>
        <w:jc w:val="center"/>
        <w:rPr>
          <w:sz w:val="24"/>
          <w:szCs w:val="24"/>
        </w:rPr>
      </w:pPr>
      <w:r w:rsidRPr="00041ABC">
        <w:rPr>
          <w:sz w:val="24"/>
          <w:szCs w:val="24"/>
        </w:rPr>
        <w:t xml:space="preserve">муниципального имущества, которое используется для формирования перечня </w:t>
      </w:r>
      <w:r w:rsidRPr="00041ABC">
        <w:rPr>
          <w:sz w:val="28"/>
          <w:szCs w:val="28"/>
        </w:rPr>
        <w:t xml:space="preserve">сельского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4326F" w:rsidRPr="00041ABC" w:rsidRDefault="0074326F" w:rsidP="0074326F">
      <w:pPr>
        <w:jc w:val="center"/>
        <w:rPr>
          <w:sz w:val="24"/>
          <w:szCs w:val="24"/>
        </w:rPr>
      </w:pPr>
    </w:p>
    <w:p w:rsidR="0074326F" w:rsidRPr="00041ABC" w:rsidRDefault="0074326F" w:rsidP="0074326F">
      <w:pPr>
        <w:rPr>
          <w:sz w:val="24"/>
          <w:szCs w:val="24"/>
        </w:rPr>
      </w:pPr>
    </w:p>
    <w:p w:rsidR="0074326F" w:rsidRPr="00041ABC" w:rsidRDefault="0074326F" w:rsidP="007432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4326F" w:rsidRPr="00041ABC" w:rsidRDefault="0074326F" w:rsidP="007432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4326F" w:rsidRPr="00041ABC" w:rsidRDefault="0074326F" w:rsidP="007432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указан согласно заявлению субъекта малого и среднего предпринимательства;</w:t>
      </w:r>
    </w:p>
    <w:p w:rsidR="0074326F" w:rsidRPr="00041ABC" w:rsidRDefault="0074326F" w:rsidP="0074326F">
      <w:pPr>
        <w:spacing w:line="360" w:lineRule="auto"/>
        <w:ind w:firstLine="708"/>
        <w:jc w:val="both"/>
        <w:rPr>
          <w:sz w:val="24"/>
          <w:szCs w:val="24"/>
        </w:rPr>
      </w:pPr>
      <w:r w:rsidRPr="00041ABC">
        <w:rPr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041ABC">
        <w:rPr>
          <w:sz w:val="24"/>
          <w:szCs w:val="24"/>
          <w:vertAlign w:val="superscript"/>
        </w:rPr>
        <w:t>9</w:t>
      </w:r>
      <w:r w:rsidRPr="00041ABC">
        <w:rPr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041ABC">
        <w:rPr>
          <w:sz w:val="24"/>
          <w:szCs w:val="24"/>
        </w:rPr>
        <w:t>полномочия</w:t>
      </w:r>
      <w:proofErr w:type="gramEnd"/>
      <w:r w:rsidRPr="00041ABC">
        <w:rPr>
          <w:sz w:val="24"/>
          <w:szCs w:val="24"/>
        </w:rPr>
        <w:t xml:space="preserve"> по предоставлению</w:t>
      </w:r>
      <w:r w:rsidRPr="00041ABC">
        <w:rPr>
          <w:sz w:val="28"/>
          <w:szCs w:val="28"/>
        </w:rPr>
        <w:t xml:space="preserve"> </w:t>
      </w:r>
      <w:r w:rsidRPr="00041ABC">
        <w:rPr>
          <w:sz w:val="24"/>
          <w:szCs w:val="24"/>
        </w:rPr>
        <w:t xml:space="preserve">которых осуществляет Комитет по управлению собственностью </w:t>
      </w:r>
      <w:proofErr w:type="gramStart"/>
      <w:r w:rsidRPr="00041ABC">
        <w:rPr>
          <w:sz w:val="24"/>
          <w:szCs w:val="24"/>
        </w:rPr>
        <w:t xml:space="preserve">Министерства земельных и имущественных отношений Республики Башкортостан по Дуванскому району в соответствие со статьями 39.6, 39.11, 39.12 Земельного кодекса Российской Федерации и соглашением о взаимодействии Комитета по управлению собственностью Министерства земельных и имущественных отношений Республики Башкортостан по Дуванскому району с Администрацией </w:t>
      </w:r>
      <w:r w:rsidRPr="00041ABC">
        <w:rPr>
          <w:sz w:val="28"/>
          <w:szCs w:val="28"/>
        </w:rPr>
        <w:t>сельского поселения</w:t>
      </w:r>
      <w:r w:rsidR="00A10868" w:rsidRPr="00041ABC">
        <w:rPr>
          <w:sz w:val="28"/>
          <w:szCs w:val="28"/>
        </w:rPr>
        <w:t xml:space="preserve"> 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 по вопросам управления муниципальным имуществом, утвержденного Решением совета </w:t>
      </w:r>
      <w:r w:rsidRPr="00041ABC">
        <w:rPr>
          <w:sz w:val="28"/>
          <w:szCs w:val="28"/>
        </w:rPr>
        <w:t>сельского</w:t>
      </w:r>
      <w:proofErr w:type="gramEnd"/>
      <w:r w:rsidRPr="00041ABC">
        <w:rPr>
          <w:sz w:val="28"/>
          <w:szCs w:val="28"/>
        </w:rPr>
        <w:t xml:space="preserve"> поселения </w:t>
      </w:r>
      <w:r w:rsidR="00A10868" w:rsidRPr="00041ABC">
        <w:rPr>
          <w:sz w:val="28"/>
          <w:szCs w:val="28"/>
        </w:rPr>
        <w:t>Сикиязский</w:t>
      </w:r>
      <w:r w:rsidRPr="00041ABC">
        <w:rPr>
          <w:sz w:val="28"/>
          <w:szCs w:val="28"/>
        </w:rPr>
        <w:t xml:space="preserve"> сельсовет</w:t>
      </w:r>
      <w:r w:rsidRPr="00041ABC">
        <w:rPr>
          <w:sz w:val="24"/>
          <w:szCs w:val="24"/>
        </w:rPr>
        <w:t xml:space="preserve"> муниципального района Дуванский район Республики Башкортостан от </w:t>
      </w:r>
      <w:r w:rsidR="0019634D" w:rsidRPr="00041ABC">
        <w:rPr>
          <w:sz w:val="24"/>
          <w:szCs w:val="24"/>
        </w:rPr>
        <w:t>17</w:t>
      </w:r>
      <w:r w:rsidRPr="00041ABC">
        <w:rPr>
          <w:sz w:val="24"/>
          <w:szCs w:val="24"/>
        </w:rPr>
        <w:t xml:space="preserve"> октября 2019 года № </w:t>
      </w:r>
      <w:r w:rsidR="0019634D" w:rsidRPr="00041ABC">
        <w:rPr>
          <w:sz w:val="24"/>
          <w:szCs w:val="24"/>
        </w:rPr>
        <w:t>17</w:t>
      </w:r>
      <w:r w:rsidRPr="00041ABC">
        <w:rPr>
          <w:sz w:val="24"/>
          <w:szCs w:val="24"/>
        </w:rPr>
        <w:t>.</w:t>
      </w:r>
    </w:p>
    <w:p w:rsidR="0074326F" w:rsidRPr="00041ABC" w:rsidRDefault="0074326F" w:rsidP="007432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1ABC">
        <w:rPr>
          <w:rFonts w:ascii="Times New Roman" w:hAnsi="Times New Roman" w:cs="Times New Roman"/>
          <w:sz w:val="24"/>
          <w:szCs w:val="24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</w:t>
      </w:r>
      <w:r w:rsidRPr="00041ABC">
        <w:rPr>
          <w:rFonts w:ascii="Times New Roman" w:hAnsi="Times New Roman" w:cs="Times New Roman"/>
          <w:sz w:val="24"/>
          <w:szCs w:val="24"/>
        </w:rPr>
        <w:lastRenderedPageBreak/>
        <w:t>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  <w:proofErr w:type="gramEnd"/>
    </w:p>
    <w:p w:rsidR="00F110CE" w:rsidRPr="00041ABC" w:rsidRDefault="00F110CE" w:rsidP="00F110CE">
      <w:pPr>
        <w:pStyle w:val="23"/>
        <w:spacing w:line="240" w:lineRule="auto"/>
        <w:ind w:left="0"/>
        <w:rPr>
          <w:sz w:val="28"/>
          <w:szCs w:val="28"/>
        </w:rPr>
      </w:pPr>
    </w:p>
    <w:sectPr w:rsidR="00F110CE" w:rsidRPr="00041ABC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1ABC"/>
    <w:rsid w:val="0004661F"/>
    <w:rsid w:val="000542F7"/>
    <w:rsid w:val="0010068F"/>
    <w:rsid w:val="001126F0"/>
    <w:rsid w:val="0017760B"/>
    <w:rsid w:val="0019634D"/>
    <w:rsid w:val="001D34C4"/>
    <w:rsid w:val="001D6B63"/>
    <w:rsid w:val="00207602"/>
    <w:rsid w:val="00230A7B"/>
    <w:rsid w:val="00270182"/>
    <w:rsid w:val="00277347"/>
    <w:rsid w:val="002E74F7"/>
    <w:rsid w:val="00365535"/>
    <w:rsid w:val="003F5D92"/>
    <w:rsid w:val="00490078"/>
    <w:rsid w:val="004F0015"/>
    <w:rsid w:val="005179A8"/>
    <w:rsid w:val="00521C0A"/>
    <w:rsid w:val="00594B91"/>
    <w:rsid w:val="005C042E"/>
    <w:rsid w:val="00696FB6"/>
    <w:rsid w:val="006B047B"/>
    <w:rsid w:val="006E798F"/>
    <w:rsid w:val="0074326F"/>
    <w:rsid w:val="0086053A"/>
    <w:rsid w:val="008B6BD3"/>
    <w:rsid w:val="008D6EC4"/>
    <w:rsid w:val="009103DA"/>
    <w:rsid w:val="00927FAC"/>
    <w:rsid w:val="009572B9"/>
    <w:rsid w:val="00983F12"/>
    <w:rsid w:val="009C15F1"/>
    <w:rsid w:val="00A10868"/>
    <w:rsid w:val="00A55119"/>
    <w:rsid w:val="00A6026F"/>
    <w:rsid w:val="00B266DC"/>
    <w:rsid w:val="00BE1A65"/>
    <w:rsid w:val="00BF5597"/>
    <w:rsid w:val="00C26631"/>
    <w:rsid w:val="00C97AD9"/>
    <w:rsid w:val="00CD33A3"/>
    <w:rsid w:val="00D013C6"/>
    <w:rsid w:val="00D53902"/>
    <w:rsid w:val="00D93C95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2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uiPriority w:val="99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326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743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2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uiPriority w:val="99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326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743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2020-06-22T07:33:00Z</cp:lastPrinted>
  <dcterms:created xsi:type="dcterms:W3CDTF">2020-06-22T10:05:00Z</dcterms:created>
  <dcterms:modified xsi:type="dcterms:W3CDTF">2020-07-07T11:28:00Z</dcterms:modified>
</cp:coreProperties>
</file>