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C2984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6C29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03069A" w:rsidRPr="00F110CE" w:rsidRDefault="0003069A" w:rsidP="0003069A">
      <w:pPr>
        <w:pStyle w:val="23"/>
        <w:spacing w:line="240" w:lineRule="auto"/>
        <w:ind w:left="0"/>
        <w:jc w:val="center"/>
        <w:rPr>
          <w:b/>
          <w:sz w:val="28"/>
          <w:szCs w:val="28"/>
        </w:rPr>
      </w:pPr>
    </w:p>
    <w:p w:rsidR="0003069A" w:rsidRPr="0054436C" w:rsidRDefault="0003069A" w:rsidP="0003069A">
      <w:pPr>
        <w:jc w:val="center"/>
        <w:rPr>
          <w:b/>
          <w:bCs/>
          <w:sz w:val="28"/>
          <w:szCs w:val="28"/>
        </w:rPr>
      </w:pPr>
      <w:r w:rsidRPr="0054436C">
        <w:rPr>
          <w:rFonts w:eastAsia="Calibri"/>
          <w:b/>
          <w:sz w:val="28"/>
          <w:szCs w:val="28"/>
          <w:lang w:eastAsia="en-US"/>
        </w:rPr>
        <w:t>РЕШЕНИЕ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bookmarkStart w:id="0" w:name="_GoBack"/>
      <w:bookmarkEnd w:id="0"/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образовании,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решил: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03069A" w:rsidRDefault="0003069A" w:rsidP="0003069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45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совета сельского поселения Сикиязский сельсовет муниципального района Дуванский район Республики Башкортостан, а также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Интернет http://</w:t>
      </w:r>
      <w:proofErr w:type="spellStart"/>
      <w:r>
        <w:rPr>
          <w:rFonts w:ascii="Times New Roman" w:hAnsi="Times New Roman"/>
          <w:color w:val="333333"/>
          <w:sz w:val="28"/>
          <w:szCs w:val="28"/>
          <w:lang w:val="en-US"/>
        </w:rPr>
        <w:t>sikiyaz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bookmarkStart w:id="1" w:name="bookmark3"/>
      <w:bookmarkEnd w:id="1"/>
      <w:proofErr w:type="spellEnd"/>
    </w:p>
    <w:p w:rsidR="0003069A" w:rsidRPr="00395AED" w:rsidRDefault="0003069A" w:rsidP="0003069A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69A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r w:rsidRPr="00395AED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Сикиязский сельсовет</w:t>
      </w:r>
    </w:p>
    <w:p w:rsidR="0003069A" w:rsidRDefault="0003069A" w:rsidP="000306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Дуванский район </w:t>
      </w:r>
    </w:p>
    <w:p w:rsidR="0003069A" w:rsidRDefault="0003069A" w:rsidP="0003069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                                                             Т.А. Пестерева</w:t>
      </w:r>
    </w:p>
    <w:p w:rsidR="0003069A" w:rsidRDefault="0003069A" w:rsidP="0003069A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3069A" w:rsidRPr="00821C0D" w:rsidRDefault="0003069A" w:rsidP="0003069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21C0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51 от 13 августа</w:t>
      </w:r>
      <w:r w:rsidRPr="00821C0D">
        <w:rPr>
          <w:color w:val="000000"/>
          <w:sz w:val="28"/>
          <w:szCs w:val="28"/>
        </w:rPr>
        <w:t xml:space="preserve"> 2020 года</w:t>
      </w:r>
    </w:p>
    <w:p w:rsidR="0003069A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4848C5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lastRenderedPageBreak/>
        <w:t>Приложение к решению</w:t>
      </w:r>
    </w:p>
    <w:p w:rsidR="0003069A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 xml:space="preserve">  Совета сельского поселения </w:t>
      </w:r>
    </w:p>
    <w:p w:rsidR="0003069A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Сикиязский</w:t>
      </w:r>
      <w:r w:rsidRPr="004848C5">
        <w:rPr>
          <w:color w:val="000000"/>
          <w:lang w:bidi="ru-RU"/>
        </w:rPr>
        <w:t xml:space="preserve"> сельсовет</w:t>
      </w:r>
    </w:p>
    <w:p w:rsidR="0003069A" w:rsidRPr="004848C5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 xml:space="preserve"> муниципального района</w:t>
      </w:r>
    </w:p>
    <w:p w:rsidR="0003069A" w:rsidRPr="004848C5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>Дуванский район</w:t>
      </w:r>
    </w:p>
    <w:p w:rsidR="0003069A" w:rsidRPr="004848C5" w:rsidRDefault="0003069A" w:rsidP="0003069A">
      <w:pPr>
        <w:widowControl w:val="0"/>
        <w:ind w:left="4281" w:right="1580"/>
        <w:jc w:val="right"/>
        <w:rPr>
          <w:color w:val="000000"/>
          <w:lang w:bidi="ru-RU"/>
        </w:rPr>
      </w:pPr>
      <w:r w:rsidRPr="004848C5">
        <w:rPr>
          <w:color w:val="000000"/>
          <w:lang w:bidi="ru-RU"/>
        </w:rPr>
        <w:t>Республики Башкортостан</w:t>
      </w:r>
    </w:p>
    <w:p w:rsidR="0003069A" w:rsidRPr="004848C5" w:rsidRDefault="0003069A" w:rsidP="0003069A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ind w:left="4281"/>
        <w:jc w:val="center"/>
        <w:rPr>
          <w:color w:val="000000"/>
          <w:lang w:bidi="ru-RU"/>
        </w:rPr>
      </w:pPr>
      <w:r w:rsidRPr="004848C5">
        <w:rPr>
          <w:color w:val="000000"/>
          <w:lang w:bidi="ru-RU"/>
        </w:rPr>
        <w:t xml:space="preserve">        от 1</w:t>
      </w:r>
      <w:r>
        <w:rPr>
          <w:color w:val="000000"/>
          <w:lang w:bidi="ru-RU"/>
        </w:rPr>
        <w:t>3</w:t>
      </w:r>
      <w:r w:rsidRPr="004848C5">
        <w:rPr>
          <w:color w:val="000000"/>
          <w:lang w:bidi="ru-RU"/>
        </w:rPr>
        <w:t>.0</w:t>
      </w:r>
      <w:r>
        <w:rPr>
          <w:color w:val="000000"/>
          <w:lang w:bidi="ru-RU"/>
        </w:rPr>
        <w:t>8</w:t>
      </w:r>
      <w:r w:rsidRPr="004848C5">
        <w:rPr>
          <w:color w:val="000000"/>
          <w:lang w:bidi="ru-RU"/>
        </w:rPr>
        <w:t xml:space="preserve">.2020 года № </w:t>
      </w:r>
      <w:r>
        <w:rPr>
          <w:color w:val="000000"/>
          <w:lang w:bidi="ru-RU"/>
        </w:rPr>
        <w:t>51</w:t>
      </w:r>
    </w:p>
    <w:p w:rsidR="0003069A" w:rsidRDefault="0003069A" w:rsidP="000306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03069A" w:rsidRPr="002C3FF2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03069A" w:rsidRDefault="0003069A" w:rsidP="0003069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03069A" w:rsidRPr="0039230F" w:rsidRDefault="0003069A" w:rsidP="0003069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03069A" w:rsidRPr="0039230F" w:rsidRDefault="0003069A" w:rsidP="000306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 от 14.01.1993 № 4292-1 «Об увековечении памяти погибших             при защите Отечества».</w:t>
      </w:r>
    </w:p>
    <w:p w:rsidR="0003069A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03069A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03069A" w:rsidRPr="0039230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(о переименовании) элементов планировочной структуры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сведения об инициаторах, предложивших присвоить наименование элементу планировочной структуры (переименовать элемент планировочной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структуры):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03069A" w:rsidRPr="002D131F" w:rsidRDefault="0003069A" w:rsidP="00030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Pr="002D131F" w:rsidRDefault="0003069A" w:rsidP="00030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муниципального образования вправе запросить мнение общественных организаций, физических и (или) юридических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03069A" w:rsidRPr="002D131F" w:rsidRDefault="0003069A" w:rsidP="00030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03069A" w:rsidRPr="002D131F" w:rsidRDefault="0003069A" w:rsidP="00030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69A" w:rsidRDefault="0003069A" w:rsidP="0003069A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</w:p>
    <w:p w:rsidR="00696FB6" w:rsidRPr="004E11D8" w:rsidRDefault="00696FB6" w:rsidP="00696FB6">
      <w:pPr>
        <w:jc w:val="both"/>
        <w:rPr>
          <w:sz w:val="28"/>
          <w:szCs w:val="28"/>
        </w:rPr>
      </w:pPr>
    </w:p>
    <w:sectPr w:rsidR="00696FB6" w:rsidRPr="004E11D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3069A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C2984"/>
    <w:rsid w:val="006E798F"/>
    <w:rsid w:val="0086053A"/>
    <w:rsid w:val="008B6BD3"/>
    <w:rsid w:val="008D6EC4"/>
    <w:rsid w:val="009103DA"/>
    <w:rsid w:val="00927FAC"/>
    <w:rsid w:val="00930EAD"/>
    <w:rsid w:val="009572B9"/>
    <w:rsid w:val="00983F12"/>
    <w:rsid w:val="009C15F1"/>
    <w:rsid w:val="00A55119"/>
    <w:rsid w:val="00A6026F"/>
    <w:rsid w:val="00B266DC"/>
    <w:rsid w:val="00B41FD0"/>
    <w:rsid w:val="00BE1A65"/>
    <w:rsid w:val="00BF5597"/>
    <w:rsid w:val="00C26631"/>
    <w:rsid w:val="00C97AD9"/>
    <w:rsid w:val="00CB6C3E"/>
    <w:rsid w:val="00CD33A3"/>
    <w:rsid w:val="00D013C6"/>
    <w:rsid w:val="00D53902"/>
    <w:rsid w:val="00DB3930"/>
    <w:rsid w:val="00DC3F55"/>
    <w:rsid w:val="00E116BA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6C29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qFormat/>
    <w:rsid w:val="0003069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2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6C29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qFormat/>
    <w:rsid w:val="0003069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6</cp:revision>
  <cp:lastPrinted>2020-09-23T07:33:00Z</cp:lastPrinted>
  <dcterms:created xsi:type="dcterms:W3CDTF">2020-09-23T07:13:00Z</dcterms:created>
  <dcterms:modified xsi:type="dcterms:W3CDTF">2020-09-23T11:26:00Z</dcterms:modified>
</cp:coreProperties>
</file>